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EB4B" w14:textId="57ABB62B" w:rsidR="00F730E5" w:rsidRPr="00F730E5" w:rsidRDefault="00F730E5" w:rsidP="00F730E5">
      <w:pPr>
        <w:spacing w:after="0" w:line="240" w:lineRule="auto"/>
        <w:jc w:val="both"/>
        <w:rPr>
          <w:b/>
          <w:bCs/>
          <w:sz w:val="18"/>
          <w:szCs w:val="18"/>
        </w:rPr>
      </w:pPr>
      <w:r>
        <w:rPr>
          <w:noProof/>
          <w:sz w:val="18"/>
          <w:szCs w:val="18"/>
        </w:rPr>
        <w:drawing>
          <wp:anchor distT="0" distB="0" distL="114300" distR="114300" simplePos="0" relativeHeight="251665408" behindDoc="1" locked="0" layoutInCell="1" allowOverlap="1" wp14:anchorId="7D4C7A93" wp14:editId="0B25320F">
            <wp:simplePos x="0" y="0"/>
            <wp:positionH relativeFrom="column">
              <wp:posOffset>2250687</wp:posOffset>
            </wp:positionH>
            <wp:positionV relativeFrom="paragraph">
              <wp:posOffset>-2532380</wp:posOffset>
            </wp:positionV>
            <wp:extent cx="10117455" cy="8494395"/>
            <wp:effectExtent l="0" t="0" r="0" b="0"/>
            <wp:wrapNone/>
            <wp:docPr id="26" name="Picture 2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circle&#10;&#10;Description automatically generated"/>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10117455" cy="849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0E5">
        <w:rPr>
          <w:b/>
          <w:bCs/>
          <w:sz w:val="18"/>
          <w:szCs w:val="18"/>
        </w:rPr>
        <w:t xml:space="preserve">PRACTICE FEE RECOVERY POLICY FOR </w:t>
      </w:r>
      <w:proofErr w:type="spellStart"/>
      <w:r w:rsidRPr="00F730E5">
        <w:rPr>
          <w:b/>
          <w:bCs/>
          <w:sz w:val="18"/>
          <w:szCs w:val="18"/>
        </w:rPr>
        <w:t>McALEER</w:t>
      </w:r>
      <w:proofErr w:type="spellEnd"/>
      <w:r w:rsidRPr="00F730E5">
        <w:rPr>
          <w:b/>
          <w:bCs/>
          <w:sz w:val="18"/>
          <w:szCs w:val="18"/>
        </w:rPr>
        <w:t xml:space="preserve"> JACKSON LIMITED (MMJ)</w:t>
      </w:r>
    </w:p>
    <w:p w14:paraId="5E445D35" w14:textId="10A9A856" w:rsidR="00F730E5" w:rsidRPr="00F730E5" w:rsidRDefault="00F730E5" w:rsidP="00F730E5">
      <w:pPr>
        <w:spacing w:after="0" w:line="240" w:lineRule="auto"/>
        <w:jc w:val="both"/>
        <w:rPr>
          <w:b/>
          <w:bCs/>
          <w:sz w:val="18"/>
          <w:szCs w:val="18"/>
        </w:rPr>
      </w:pPr>
    </w:p>
    <w:p w14:paraId="69DC2E72" w14:textId="6CD92900" w:rsidR="00F730E5" w:rsidRPr="00F730E5" w:rsidRDefault="00F730E5" w:rsidP="00F730E5">
      <w:pPr>
        <w:spacing w:after="0" w:line="240" w:lineRule="auto"/>
        <w:jc w:val="both"/>
        <w:rPr>
          <w:b/>
          <w:bCs/>
          <w:sz w:val="18"/>
          <w:szCs w:val="18"/>
        </w:rPr>
      </w:pPr>
      <w:r w:rsidRPr="00F730E5">
        <w:rPr>
          <w:b/>
          <w:bCs/>
          <w:sz w:val="18"/>
          <w:szCs w:val="18"/>
        </w:rPr>
        <w:t xml:space="preserve">Introduction </w:t>
      </w:r>
    </w:p>
    <w:p w14:paraId="3EEEB6C9" w14:textId="5C961A13" w:rsidR="00F730E5" w:rsidRPr="00F730E5" w:rsidRDefault="00F730E5" w:rsidP="00F730E5">
      <w:pPr>
        <w:spacing w:after="0" w:line="240" w:lineRule="auto"/>
        <w:jc w:val="both"/>
        <w:rPr>
          <w:sz w:val="18"/>
          <w:szCs w:val="18"/>
        </w:rPr>
      </w:pPr>
      <w:r>
        <w:rPr>
          <w:noProof/>
          <w:sz w:val="18"/>
          <w:szCs w:val="18"/>
        </w:rPr>
        <mc:AlternateContent>
          <mc:Choice Requires="wpi">
            <w:drawing>
              <wp:anchor distT="0" distB="0" distL="114300" distR="114300" simplePos="0" relativeHeight="251660288" behindDoc="0" locked="0" layoutInCell="1" allowOverlap="1" wp14:anchorId="50519A43" wp14:editId="384D5341">
                <wp:simplePos x="0" y="0"/>
                <wp:positionH relativeFrom="column">
                  <wp:posOffset>-3210502</wp:posOffset>
                </wp:positionH>
                <wp:positionV relativeFrom="paragraph">
                  <wp:posOffset>417066</wp:posOffset>
                </wp:positionV>
                <wp:extent cx="7200" cy="2520"/>
                <wp:effectExtent l="76200" t="76200" r="88265" b="112395"/>
                <wp:wrapNone/>
                <wp:docPr id="22" name="Ink 22"/>
                <wp:cNvGraphicFramePr/>
                <a:graphic xmlns:a="http://schemas.openxmlformats.org/drawingml/2006/main">
                  <a:graphicData uri="http://schemas.microsoft.com/office/word/2010/wordprocessingInk">
                    <w14:contentPart bwMode="auto" r:id="rId9">
                      <w14:nvContentPartPr>
                        <w14:cNvContentPartPr/>
                      </w14:nvContentPartPr>
                      <w14:xfrm>
                        <a:off x="0" y="0"/>
                        <a:ext cx="7200" cy="2520"/>
                      </w14:xfrm>
                    </w14:contentPart>
                  </a:graphicData>
                </a:graphic>
              </wp:anchor>
            </w:drawing>
          </mc:Choice>
          <mc:Fallback>
            <w:pict>
              <v:shapetype w14:anchorId="124056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255.65pt;margin-top:30.05pt;width:6.2pt;height:5.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">
                <v:imagedata r:id="rId10" o:title=""/>
              </v:shape>
            </w:pict>
          </mc:Fallback>
        </mc:AlternateContent>
      </w:r>
      <w:r>
        <w:rPr>
          <w:noProof/>
          <w:sz w:val="18"/>
          <w:szCs w:val="18"/>
        </w:rPr>
        <mc:AlternateContent>
          <mc:Choice Requires="wpi">
            <w:drawing>
              <wp:anchor distT="0" distB="0" distL="114300" distR="114300" simplePos="0" relativeHeight="251659264" behindDoc="0" locked="0" layoutInCell="1" allowOverlap="1" wp14:anchorId="234B4B87" wp14:editId="58EF21D2">
                <wp:simplePos x="0" y="0"/>
                <wp:positionH relativeFrom="column">
                  <wp:posOffset>-3376822</wp:posOffset>
                </wp:positionH>
                <wp:positionV relativeFrom="paragraph">
                  <wp:posOffset>310146</wp:posOffset>
                </wp:positionV>
                <wp:extent cx="360" cy="360"/>
                <wp:effectExtent l="76200" t="76200" r="95250" b="95250"/>
                <wp:wrapNone/>
                <wp:docPr id="21"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E4C1C98" id="Ink 21" o:spid="_x0000_s1026" type="#_x0000_t75" style="position:absolute;margin-left:-268.7pt;margin-top:21.6pt;width:5.7pt;height:5.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">
                <v:imagedata r:id="rId12" o:title=""/>
              </v:shape>
            </w:pict>
          </mc:Fallback>
        </mc:AlternateContent>
      </w:r>
      <w:r w:rsidRPr="00F730E5">
        <w:rPr>
          <w:sz w:val="18"/>
          <w:szCs w:val="18"/>
        </w:rPr>
        <w:t xml:space="preserve">The insolvency legislation was changed in April 2010 for insolvency appointments commenced from that time </w:t>
      </w:r>
      <w:proofErr w:type="gramStart"/>
      <w:r w:rsidRPr="00F730E5">
        <w:rPr>
          <w:sz w:val="18"/>
          <w:szCs w:val="18"/>
        </w:rPr>
        <w:t>in order to</w:t>
      </w:r>
      <w:proofErr w:type="gramEnd"/>
      <w:r w:rsidRPr="00F730E5">
        <w:rPr>
          <w:sz w:val="18"/>
          <w:szCs w:val="18"/>
        </w:rPr>
        <w:t xml:space="preserve"> allow more flexibility on how an office holder’s fees are charged to a case. This sheet explains how we may apply the alternative fee bases. The legislation now allows different fee bases to be used for different tasks within the same appointment. The basis or combination of bases set for a particular appointment are subject to approval, generally by a committee if one is appointed by the creditors, failing which the creditors in general meeting, or the Court. Further details about how an office holder’s fees are approved for each case type are available in a series of guides issued with Statement of Insolvency Practice 9 (SIP 9) and can be accessed at www.mmjca.com or www.r3.org.uk. </w:t>
      </w:r>
      <w:proofErr w:type="gramStart"/>
      <w:r w:rsidRPr="00F730E5">
        <w:rPr>
          <w:sz w:val="18"/>
          <w:szCs w:val="18"/>
        </w:rPr>
        <w:t>Alternatively</w:t>
      </w:r>
      <w:proofErr w:type="gramEnd"/>
      <w:r w:rsidRPr="00F730E5">
        <w:rPr>
          <w:sz w:val="18"/>
          <w:szCs w:val="18"/>
        </w:rPr>
        <w:t xml:space="preserve"> a hard copy may be requested from McAleer Jackson </w:t>
      </w:r>
      <w:r w:rsidR="0038166D">
        <w:rPr>
          <w:sz w:val="18"/>
          <w:szCs w:val="18"/>
        </w:rPr>
        <w:t>Limited</w:t>
      </w:r>
      <w:r w:rsidRPr="00F730E5">
        <w:rPr>
          <w:sz w:val="18"/>
          <w:szCs w:val="18"/>
        </w:rPr>
        <w:t xml:space="preserve">, Church House, 24 Dublin Road, Omagh, Co Tyrone BT78 1HE. </w:t>
      </w:r>
    </w:p>
    <w:p w14:paraId="66E72205" w14:textId="43AD31E7" w:rsidR="00F730E5" w:rsidRPr="00F730E5" w:rsidRDefault="00F730E5" w:rsidP="00F730E5">
      <w:pPr>
        <w:spacing w:after="0" w:line="240" w:lineRule="auto"/>
        <w:jc w:val="both"/>
        <w:rPr>
          <w:sz w:val="18"/>
          <w:szCs w:val="18"/>
        </w:rPr>
      </w:pPr>
    </w:p>
    <w:p w14:paraId="4C111453" w14:textId="24411B1F" w:rsidR="00F730E5" w:rsidRPr="00F730E5" w:rsidRDefault="00F730E5" w:rsidP="00F730E5">
      <w:pPr>
        <w:spacing w:after="0" w:line="240" w:lineRule="auto"/>
        <w:jc w:val="both"/>
        <w:rPr>
          <w:sz w:val="18"/>
          <w:szCs w:val="18"/>
        </w:rPr>
      </w:pPr>
      <w:r>
        <w:rPr>
          <w:noProof/>
          <w:sz w:val="18"/>
          <w:szCs w:val="18"/>
        </w:rPr>
        <w:drawing>
          <wp:anchor distT="0" distB="0" distL="114300" distR="114300" simplePos="0" relativeHeight="251663360" behindDoc="1" locked="0" layoutInCell="1" allowOverlap="1" wp14:anchorId="31FBC788" wp14:editId="2DFB8700">
            <wp:simplePos x="0" y="0"/>
            <wp:positionH relativeFrom="column">
              <wp:posOffset>-3293250</wp:posOffset>
            </wp:positionH>
            <wp:positionV relativeFrom="paragraph">
              <wp:posOffset>417606</wp:posOffset>
            </wp:positionV>
            <wp:extent cx="10117809" cy="849476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7630" cy="85030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0E5">
        <w:rPr>
          <w:sz w:val="18"/>
          <w:szCs w:val="18"/>
        </w:rPr>
        <w:t xml:space="preserve">Once the basis of the office holder’s remuneration has been approved, a periodic report will be provided to any committee </w:t>
      </w:r>
      <w:proofErr w:type="gramStart"/>
      <w:r w:rsidRPr="00F730E5">
        <w:rPr>
          <w:sz w:val="18"/>
          <w:szCs w:val="18"/>
        </w:rPr>
        <w:t>and also</w:t>
      </w:r>
      <w:proofErr w:type="gramEnd"/>
      <w:r w:rsidRPr="00F730E5">
        <w:rPr>
          <w:sz w:val="18"/>
          <w:szCs w:val="18"/>
        </w:rPr>
        <w:t xml:space="preserve"> to each creditor. The report will provide a breakdown of the remuneration drawn and time costs incurred and will also enable the recipients to see the average rates of such costs. Under the legislation, any such report must disclose how creditors can seek further information and challenge the basis on which the fees are </w:t>
      </w:r>
      <w:proofErr w:type="gramStart"/>
      <w:r w:rsidRPr="00F730E5">
        <w:rPr>
          <w:sz w:val="18"/>
          <w:szCs w:val="18"/>
        </w:rPr>
        <w:t>calculated</w:t>
      </w:r>
      <w:proofErr w:type="gramEnd"/>
      <w:r w:rsidRPr="00F730E5">
        <w:rPr>
          <w:sz w:val="18"/>
          <w:szCs w:val="18"/>
        </w:rPr>
        <w:t xml:space="preserve"> and the level of fees drawn in the period of the report. Once the time to challenge the office holder’s remuneration for the period reported on has elapsed, then that remuneration cannot subsequently be challenged. </w:t>
      </w:r>
    </w:p>
    <w:p w14:paraId="46458D51" w14:textId="77777777" w:rsidR="00F730E5" w:rsidRPr="00F730E5" w:rsidRDefault="00F730E5" w:rsidP="00F730E5">
      <w:pPr>
        <w:spacing w:after="0" w:line="240" w:lineRule="auto"/>
        <w:jc w:val="both"/>
        <w:rPr>
          <w:sz w:val="18"/>
          <w:szCs w:val="18"/>
        </w:rPr>
      </w:pPr>
    </w:p>
    <w:p w14:paraId="754B3C1B" w14:textId="77777777" w:rsidR="00F730E5" w:rsidRPr="00F730E5" w:rsidRDefault="00F730E5" w:rsidP="00F730E5">
      <w:pPr>
        <w:spacing w:after="0" w:line="240" w:lineRule="auto"/>
        <w:jc w:val="both"/>
        <w:rPr>
          <w:sz w:val="18"/>
          <w:szCs w:val="18"/>
        </w:rPr>
      </w:pPr>
      <w:r w:rsidRPr="00F730E5">
        <w:rPr>
          <w:sz w:val="18"/>
          <w:szCs w:val="18"/>
        </w:rPr>
        <w:t xml:space="preserve">Under the old legislation, which still applies for insolvency appointments commenced before 6 April 2010, there is no equivalent mechanism for fees to be challenged. </w:t>
      </w:r>
    </w:p>
    <w:p w14:paraId="624DD649" w14:textId="77777777" w:rsidR="00F730E5" w:rsidRPr="00F730E5" w:rsidRDefault="00F730E5" w:rsidP="00F730E5">
      <w:pPr>
        <w:spacing w:after="0" w:line="240" w:lineRule="auto"/>
        <w:jc w:val="both"/>
        <w:rPr>
          <w:sz w:val="18"/>
          <w:szCs w:val="18"/>
        </w:rPr>
      </w:pPr>
    </w:p>
    <w:p w14:paraId="4E56DABE" w14:textId="20816AA2" w:rsidR="00F730E5" w:rsidRPr="00F730E5" w:rsidRDefault="00F730E5" w:rsidP="00F730E5">
      <w:pPr>
        <w:spacing w:after="0" w:line="240" w:lineRule="auto"/>
        <w:jc w:val="both"/>
        <w:rPr>
          <w:b/>
          <w:bCs/>
          <w:sz w:val="18"/>
          <w:szCs w:val="18"/>
        </w:rPr>
      </w:pPr>
      <w:r w:rsidRPr="00F730E5">
        <w:rPr>
          <w:b/>
          <w:bCs/>
          <w:sz w:val="18"/>
          <w:szCs w:val="18"/>
        </w:rPr>
        <w:t xml:space="preserve">Time Properly Incurred </w:t>
      </w:r>
    </w:p>
    <w:p w14:paraId="751296FE" w14:textId="77777777" w:rsidR="00F730E5" w:rsidRPr="00F730E5" w:rsidRDefault="00F730E5" w:rsidP="00F730E5">
      <w:pPr>
        <w:spacing w:after="0" w:line="240" w:lineRule="auto"/>
        <w:jc w:val="both"/>
        <w:rPr>
          <w:sz w:val="18"/>
          <w:szCs w:val="18"/>
        </w:rPr>
      </w:pPr>
      <w:r w:rsidRPr="00F730E5">
        <w:rPr>
          <w:sz w:val="18"/>
          <w:szCs w:val="18"/>
        </w:rPr>
        <w:t xml:space="preserve">This is the basis that we use in the majority of </w:t>
      </w:r>
      <w:proofErr w:type="gramStart"/>
      <w:r w:rsidRPr="00F730E5">
        <w:rPr>
          <w:sz w:val="18"/>
          <w:szCs w:val="18"/>
        </w:rPr>
        <w:t>cases</w:t>
      </w:r>
      <w:proofErr w:type="gramEnd"/>
      <w:r w:rsidRPr="00F730E5">
        <w:rPr>
          <w:sz w:val="18"/>
          <w:szCs w:val="18"/>
        </w:rPr>
        <w:t xml:space="preserve"> and we use charge out rates appropriate to the skills and experience of a member of staff and the work that they perform. This is combined with the amount of time that they work on each case, recorded in </w:t>
      </w:r>
      <w:proofErr w:type="gramStart"/>
      <w:r w:rsidRPr="00F730E5">
        <w:rPr>
          <w:sz w:val="18"/>
          <w:szCs w:val="18"/>
        </w:rPr>
        <w:t>6 minute</w:t>
      </w:r>
      <w:proofErr w:type="gramEnd"/>
      <w:r w:rsidRPr="00F730E5">
        <w:rPr>
          <w:sz w:val="18"/>
          <w:szCs w:val="18"/>
        </w:rPr>
        <w:t xml:space="preserve"> units with supporting narrative to explain the work undertaken. </w:t>
      </w:r>
    </w:p>
    <w:p w14:paraId="653784A8" w14:textId="77777777" w:rsidR="00F730E5" w:rsidRPr="00F730E5" w:rsidRDefault="00F730E5" w:rsidP="00F730E5">
      <w:pPr>
        <w:spacing w:after="0" w:line="240" w:lineRule="auto"/>
        <w:jc w:val="both"/>
        <w:rPr>
          <w:sz w:val="18"/>
          <w:szCs w:val="18"/>
        </w:rPr>
      </w:pPr>
    </w:p>
    <w:p w14:paraId="1DE920F0" w14:textId="77777777" w:rsidR="00F730E5" w:rsidRPr="00F730E5" w:rsidRDefault="00F730E5" w:rsidP="00F730E5">
      <w:pPr>
        <w:spacing w:after="0" w:line="240" w:lineRule="auto"/>
        <w:jc w:val="both"/>
        <w:rPr>
          <w:b/>
          <w:bCs/>
          <w:sz w:val="18"/>
          <w:szCs w:val="18"/>
        </w:rPr>
      </w:pPr>
      <w:r w:rsidRPr="00F730E5">
        <w:rPr>
          <w:b/>
          <w:bCs/>
          <w:sz w:val="18"/>
          <w:szCs w:val="18"/>
        </w:rPr>
        <w:t xml:space="preserve">Chargeout Rates </w:t>
      </w:r>
    </w:p>
    <w:p w14:paraId="13A14CFD" w14:textId="77777777" w:rsidR="00F730E5" w:rsidRPr="00F730E5" w:rsidRDefault="00F730E5" w:rsidP="00F730E5">
      <w:pPr>
        <w:spacing w:after="0" w:line="240" w:lineRule="auto"/>
        <w:jc w:val="both"/>
        <w:rPr>
          <w:sz w:val="18"/>
          <w:szCs w:val="18"/>
        </w:rPr>
      </w:pPr>
    </w:p>
    <w:tbl>
      <w:tblPr>
        <w:tblStyle w:val="TableGrid"/>
        <w:tblW w:w="5382" w:type="dxa"/>
        <w:tblLook w:val="04A0" w:firstRow="1" w:lastRow="0" w:firstColumn="1" w:lastColumn="0" w:noHBand="0" w:noVBand="1"/>
      </w:tblPr>
      <w:tblGrid>
        <w:gridCol w:w="1969"/>
        <w:gridCol w:w="1854"/>
        <w:gridCol w:w="1559"/>
      </w:tblGrid>
      <w:tr w:rsidR="00F730E5" w:rsidRPr="00F730E5" w14:paraId="2A2DD80C" w14:textId="77777777" w:rsidTr="00F730E5">
        <w:tc>
          <w:tcPr>
            <w:tcW w:w="1969" w:type="dxa"/>
          </w:tcPr>
          <w:p w14:paraId="2E13496C" w14:textId="77777777" w:rsidR="00F730E5" w:rsidRPr="00F730E5" w:rsidRDefault="00F730E5" w:rsidP="00442AA9">
            <w:pPr>
              <w:jc w:val="both"/>
              <w:rPr>
                <w:sz w:val="16"/>
                <w:szCs w:val="16"/>
              </w:rPr>
            </w:pPr>
            <w:r w:rsidRPr="00F730E5">
              <w:rPr>
                <w:sz w:val="16"/>
                <w:szCs w:val="16"/>
              </w:rPr>
              <w:t>Grade of staff</w:t>
            </w:r>
          </w:p>
        </w:tc>
        <w:tc>
          <w:tcPr>
            <w:tcW w:w="1854" w:type="dxa"/>
          </w:tcPr>
          <w:p w14:paraId="4A1A66F6" w14:textId="4876B27A" w:rsidR="00F730E5" w:rsidRPr="00F730E5" w:rsidRDefault="00F730E5" w:rsidP="00F730E5">
            <w:pPr>
              <w:jc w:val="center"/>
              <w:rPr>
                <w:sz w:val="16"/>
                <w:szCs w:val="16"/>
              </w:rPr>
            </w:pPr>
            <w:r w:rsidRPr="00F730E5">
              <w:rPr>
                <w:sz w:val="16"/>
                <w:szCs w:val="16"/>
              </w:rPr>
              <w:t>Current charge-out rate</w:t>
            </w:r>
            <w:r>
              <w:rPr>
                <w:sz w:val="16"/>
                <w:szCs w:val="16"/>
              </w:rPr>
              <w:t xml:space="preserve"> </w:t>
            </w:r>
            <w:r w:rsidRPr="00F730E5">
              <w:rPr>
                <w:sz w:val="16"/>
                <w:szCs w:val="16"/>
              </w:rPr>
              <w:t>per hour, effective from</w:t>
            </w:r>
            <w:r>
              <w:rPr>
                <w:sz w:val="16"/>
                <w:szCs w:val="16"/>
              </w:rPr>
              <w:t xml:space="preserve"> </w:t>
            </w:r>
            <w:r w:rsidRPr="00F730E5">
              <w:rPr>
                <w:sz w:val="16"/>
                <w:szCs w:val="16"/>
              </w:rPr>
              <w:t>1 January 2017 £</w:t>
            </w:r>
          </w:p>
        </w:tc>
        <w:tc>
          <w:tcPr>
            <w:tcW w:w="1559" w:type="dxa"/>
          </w:tcPr>
          <w:p w14:paraId="7C5D8114" w14:textId="515DF6DA" w:rsidR="00F730E5" w:rsidRPr="00F730E5" w:rsidRDefault="00F730E5" w:rsidP="00F730E5">
            <w:pPr>
              <w:jc w:val="center"/>
              <w:rPr>
                <w:sz w:val="16"/>
                <w:szCs w:val="16"/>
              </w:rPr>
            </w:pPr>
            <w:r w:rsidRPr="00F730E5">
              <w:rPr>
                <w:sz w:val="16"/>
                <w:szCs w:val="16"/>
              </w:rPr>
              <w:t>Previous charge-out</w:t>
            </w:r>
            <w:r>
              <w:rPr>
                <w:sz w:val="16"/>
                <w:szCs w:val="16"/>
              </w:rPr>
              <w:t xml:space="preserve"> </w:t>
            </w:r>
            <w:r w:rsidRPr="00F730E5">
              <w:rPr>
                <w:sz w:val="16"/>
                <w:szCs w:val="16"/>
              </w:rPr>
              <w:t>rate per hour, effective from 1</w:t>
            </w:r>
            <w:r>
              <w:rPr>
                <w:sz w:val="16"/>
                <w:szCs w:val="16"/>
              </w:rPr>
              <w:t xml:space="preserve"> </w:t>
            </w:r>
            <w:r w:rsidRPr="00F730E5">
              <w:rPr>
                <w:sz w:val="16"/>
                <w:szCs w:val="16"/>
              </w:rPr>
              <w:t>May 2014 £</w:t>
            </w:r>
          </w:p>
        </w:tc>
      </w:tr>
      <w:tr w:rsidR="00F730E5" w:rsidRPr="00F730E5" w14:paraId="0767F1E6" w14:textId="77777777" w:rsidTr="00F730E5">
        <w:tc>
          <w:tcPr>
            <w:tcW w:w="1969" w:type="dxa"/>
          </w:tcPr>
          <w:p w14:paraId="3BC620E5" w14:textId="77777777" w:rsidR="00F730E5" w:rsidRPr="00F730E5" w:rsidRDefault="00F730E5" w:rsidP="00442AA9">
            <w:pPr>
              <w:jc w:val="both"/>
              <w:rPr>
                <w:sz w:val="16"/>
                <w:szCs w:val="16"/>
              </w:rPr>
            </w:pPr>
            <w:r w:rsidRPr="00F730E5">
              <w:rPr>
                <w:sz w:val="16"/>
                <w:szCs w:val="16"/>
              </w:rPr>
              <w:t>Director/Associate Director – appointment taker</w:t>
            </w:r>
          </w:p>
        </w:tc>
        <w:tc>
          <w:tcPr>
            <w:tcW w:w="1854" w:type="dxa"/>
          </w:tcPr>
          <w:p w14:paraId="3AE8D78B" w14:textId="77777777" w:rsidR="00F730E5" w:rsidRPr="00F730E5" w:rsidRDefault="00F730E5" w:rsidP="00442AA9">
            <w:pPr>
              <w:jc w:val="both"/>
              <w:rPr>
                <w:sz w:val="16"/>
                <w:szCs w:val="16"/>
              </w:rPr>
            </w:pPr>
            <w:r w:rsidRPr="00F730E5">
              <w:rPr>
                <w:sz w:val="16"/>
                <w:szCs w:val="16"/>
              </w:rPr>
              <w:t>215 - 250</w:t>
            </w:r>
          </w:p>
        </w:tc>
        <w:tc>
          <w:tcPr>
            <w:tcW w:w="1559" w:type="dxa"/>
          </w:tcPr>
          <w:p w14:paraId="11A1CDFC" w14:textId="77777777" w:rsidR="00F730E5" w:rsidRPr="00F730E5" w:rsidRDefault="00F730E5" w:rsidP="00442AA9">
            <w:pPr>
              <w:jc w:val="both"/>
              <w:rPr>
                <w:sz w:val="16"/>
                <w:szCs w:val="16"/>
              </w:rPr>
            </w:pPr>
            <w:r w:rsidRPr="00F730E5">
              <w:rPr>
                <w:sz w:val="16"/>
                <w:szCs w:val="16"/>
              </w:rPr>
              <w:t>160 - 250</w:t>
            </w:r>
          </w:p>
        </w:tc>
      </w:tr>
      <w:tr w:rsidR="00F730E5" w:rsidRPr="00F730E5" w14:paraId="3736B5D2" w14:textId="77777777" w:rsidTr="00F730E5">
        <w:tc>
          <w:tcPr>
            <w:tcW w:w="1969" w:type="dxa"/>
          </w:tcPr>
          <w:p w14:paraId="39B7C49E" w14:textId="77777777" w:rsidR="00F730E5" w:rsidRPr="00F730E5" w:rsidRDefault="00F730E5" w:rsidP="00442AA9">
            <w:pPr>
              <w:jc w:val="both"/>
              <w:rPr>
                <w:sz w:val="16"/>
                <w:szCs w:val="16"/>
              </w:rPr>
            </w:pPr>
            <w:r w:rsidRPr="00F730E5">
              <w:rPr>
                <w:sz w:val="16"/>
                <w:szCs w:val="16"/>
              </w:rPr>
              <w:t>Executive Director/ Senior Manager</w:t>
            </w:r>
          </w:p>
        </w:tc>
        <w:tc>
          <w:tcPr>
            <w:tcW w:w="1854" w:type="dxa"/>
          </w:tcPr>
          <w:p w14:paraId="59FEC6DA" w14:textId="77777777" w:rsidR="00F730E5" w:rsidRPr="00F730E5" w:rsidRDefault="00F730E5" w:rsidP="00442AA9">
            <w:pPr>
              <w:jc w:val="both"/>
              <w:rPr>
                <w:sz w:val="16"/>
                <w:szCs w:val="16"/>
              </w:rPr>
            </w:pPr>
            <w:r w:rsidRPr="00F730E5">
              <w:rPr>
                <w:sz w:val="16"/>
                <w:szCs w:val="16"/>
              </w:rPr>
              <w:t>90 - 175</w:t>
            </w:r>
          </w:p>
        </w:tc>
        <w:tc>
          <w:tcPr>
            <w:tcW w:w="1559" w:type="dxa"/>
          </w:tcPr>
          <w:p w14:paraId="1E1F70CA" w14:textId="77777777" w:rsidR="00F730E5" w:rsidRPr="00F730E5" w:rsidRDefault="00F730E5" w:rsidP="00442AA9">
            <w:pPr>
              <w:jc w:val="both"/>
              <w:rPr>
                <w:sz w:val="16"/>
                <w:szCs w:val="16"/>
              </w:rPr>
            </w:pPr>
            <w:r w:rsidRPr="00F730E5">
              <w:rPr>
                <w:sz w:val="16"/>
                <w:szCs w:val="16"/>
              </w:rPr>
              <w:t xml:space="preserve">90 - 150 </w:t>
            </w:r>
          </w:p>
        </w:tc>
      </w:tr>
      <w:tr w:rsidR="00F730E5" w:rsidRPr="00F730E5" w14:paraId="56163924" w14:textId="77777777" w:rsidTr="00F730E5">
        <w:tc>
          <w:tcPr>
            <w:tcW w:w="1969" w:type="dxa"/>
          </w:tcPr>
          <w:p w14:paraId="48EA1B38" w14:textId="77777777" w:rsidR="00F730E5" w:rsidRPr="00F730E5" w:rsidRDefault="00F730E5" w:rsidP="00442AA9">
            <w:pPr>
              <w:jc w:val="both"/>
              <w:rPr>
                <w:sz w:val="16"/>
                <w:szCs w:val="16"/>
              </w:rPr>
            </w:pPr>
            <w:r w:rsidRPr="00F730E5">
              <w:rPr>
                <w:sz w:val="16"/>
                <w:szCs w:val="16"/>
              </w:rPr>
              <w:t>Manager/Assistant Manager</w:t>
            </w:r>
          </w:p>
        </w:tc>
        <w:tc>
          <w:tcPr>
            <w:tcW w:w="1854" w:type="dxa"/>
          </w:tcPr>
          <w:p w14:paraId="58231CB1" w14:textId="77777777" w:rsidR="00F730E5" w:rsidRPr="00F730E5" w:rsidRDefault="00F730E5" w:rsidP="00442AA9">
            <w:pPr>
              <w:jc w:val="both"/>
              <w:rPr>
                <w:sz w:val="16"/>
                <w:szCs w:val="16"/>
              </w:rPr>
            </w:pPr>
            <w:r w:rsidRPr="00F730E5">
              <w:rPr>
                <w:sz w:val="16"/>
                <w:szCs w:val="16"/>
              </w:rPr>
              <w:t>45 - 90</w:t>
            </w:r>
          </w:p>
        </w:tc>
        <w:tc>
          <w:tcPr>
            <w:tcW w:w="1559" w:type="dxa"/>
          </w:tcPr>
          <w:p w14:paraId="56109AF9" w14:textId="77777777" w:rsidR="00F730E5" w:rsidRPr="00F730E5" w:rsidRDefault="00F730E5" w:rsidP="00442AA9">
            <w:pPr>
              <w:jc w:val="both"/>
              <w:rPr>
                <w:sz w:val="16"/>
                <w:szCs w:val="16"/>
              </w:rPr>
            </w:pPr>
            <w:r w:rsidRPr="00F730E5">
              <w:rPr>
                <w:sz w:val="16"/>
                <w:szCs w:val="16"/>
              </w:rPr>
              <w:t>56 - 80</w:t>
            </w:r>
          </w:p>
        </w:tc>
      </w:tr>
      <w:tr w:rsidR="00F730E5" w:rsidRPr="00F730E5" w14:paraId="1527E1D0" w14:textId="77777777" w:rsidTr="00F730E5">
        <w:tc>
          <w:tcPr>
            <w:tcW w:w="1969" w:type="dxa"/>
          </w:tcPr>
          <w:p w14:paraId="2D9B0F7E" w14:textId="77777777" w:rsidR="00F730E5" w:rsidRPr="00F730E5" w:rsidRDefault="00F730E5" w:rsidP="00442AA9">
            <w:pPr>
              <w:jc w:val="both"/>
              <w:rPr>
                <w:sz w:val="16"/>
                <w:szCs w:val="16"/>
              </w:rPr>
            </w:pPr>
            <w:r w:rsidRPr="00F730E5">
              <w:rPr>
                <w:sz w:val="16"/>
                <w:szCs w:val="16"/>
              </w:rPr>
              <w:t>Case Worker</w:t>
            </w:r>
          </w:p>
        </w:tc>
        <w:tc>
          <w:tcPr>
            <w:tcW w:w="1854" w:type="dxa"/>
          </w:tcPr>
          <w:p w14:paraId="30AE2074" w14:textId="77777777" w:rsidR="00F730E5" w:rsidRPr="00F730E5" w:rsidRDefault="00F730E5" w:rsidP="00442AA9">
            <w:pPr>
              <w:jc w:val="both"/>
              <w:rPr>
                <w:sz w:val="16"/>
                <w:szCs w:val="16"/>
              </w:rPr>
            </w:pPr>
            <w:r w:rsidRPr="00F730E5">
              <w:rPr>
                <w:sz w:val="16"/>
                <w:szCs w:val="16"/>
              </w:rPr>
              <w:t>30 - 45</w:t>
            </w:r>
          </w:p>
        </w:tc>
        <w:tc>
          <w:tcPr>
            <w:tcW w:w="1559" w:type="dxa"/>
          </w:tcPr>
          <w:p w14:paraId="231FC727" w14:textId="77777777" w:rsidR="00F730E5" w:rsidRPr="00F730E5" w:rsidRDefault="00F730E5" w:rsidP="00442AA9">
            <w:pPr>
              <w:jc w:val="both"/>
              <w:rPr>
                <w:sz w:val="16"/>
                <w:szCs w:val="16"/>
              </w:rPr>
            </w:pPr>
            <w:r w:rsidRPr="00F730E5">
              <w:rPr>
                <w:sz w:val="16"/>
                <w:szCs w:val="16"/>
              </w:rPr>
              <w:t>35 - 55</w:t>
            </w:r>
          </w:p>
        </w:tc>
      </w:tr>
      <w:tr w:rsidR="00F730E5" w:rsidRPr="00F730E5" w14:paraId="67F44862" w14:textId="77777777" w:rsidTr="00F730E5">
        <w:tc>
          <w:tcPr>
            <w:tcW w:w="1969" w:type="dxa"/>
          </w:tcPr>
          <w:p w14:paraId="360E9658" w14:textId="77777777" w:rsidR="00F730E5" w:rsidRPr="00F730E5" w:rsidRDefault="00F730E5" w:rsidP="00442AA9">
            <w:pPr>
              <w:jc w:val="both"/>
              <w:rPr>
                <w:sz w:val="16"/>
                <w:szCs w:val="16"/>
              </w:rPr>
            </w:pPr>
            <w:r w:rsidRPr="00F730E5">
              <w:rPr>
                <w:sz w:val="16"/>
                <w:szCs w:val="16"/>
              </w:rPr>
              <w:t>Cashier/Support Staff</w:t>
            </w:r>
          </w:p>
        </w:tc>
        <w:tc>
          <w:tcPr>
            <w:tcW w:w="1854" w:type="dxa"/>
          </w:tcPr>
          <w:p w14:paraId="68AA8722" w14:textId="77777777" w:rsidR="00F730E5" w:rsidRPr="00F730E5" w:rsidRDefault="00F730E5" w:rsidP="00442AA9">
            <w:pPr>
              <w:jc w:val="both"/>
              <w:rPr>
                <w:sz w:val="16"/>
                <w:szCs w:val="16"/>
              </w:rPr>
            </w:pPr>
            <w:r w:rsidRPr="00F730E5">
              <w:rPr>
                <w:sz w:val="16"/>
                <w:szCs w:val="16"/>
              </w:rPr>
              <w:t>30</w:t>
            </w:r>
          </w:p>
        </w:tc>
        <w:tc>
          <w:tcPr>
            <w:tcW w:w="1559" w:type="dxa"/>
          </w:tcPr>
          <w:p w14:paraId="710F0308" w14:textId="77777777" w:rsidR="00F730E5" w:rsidRPr="00F730E5" w:rsidRDefault="00F730E5" w:rsidP="00442AA9">
            <w:pPr>
              <w:jc w:val="both"/>
              <w:rPr>
                <w:sz w:val="16"/>
                <w:szCs w:val="16"/>
              </w:rPr>
            </w:pPr>
            <w:r w:rsidRPr="00F730E5">
              <w:rPr>
                <w:sz w:val="16"/>
                <w:szCs w:val="16"/>
              </w:rPr>
              <w:t>30</w:t>
            </w:r>
          </w:p>
        </w:tc>
      </w:tr>
    </w:tbl>
    <w:p w14:paraId="5111597C" w14:textId="77777777" w:rsidR="00F730E5" w:rsidRPr="00F730E5" w:rsidRDefault="00F730E5" w:rsidP="00F730E5">
      <w:pPr>
        <w:spacing w:after="0" w:line="240" w:lineRule="auto"/>
        <w:jc w:val="both"/>
        <w:rPr>
          <w:sz w:val="18"/>
          <w:szCs w:val="18"/>
        </w:rPr>
      </w:pPr>
    </w:p>
    <w:p w14:paraId="21A2BA13" w14:textId="77777777" w:rsidR="00F730E5" w:rsidRPr="00F730E5" w:rsidRDefault="00F730E5" w:rsidP="00F730E5">
      <w:pPr>
        <w:spacing w:after="0" w:line="240" w:lineRule="auto"/>
        <w:jc w:val="both"/>
        <w:rPr>
          <w:sz w:val="18"/>
          <w:szCs w:val="18"/>
        </w:rPr>
      </w:pPr>
      <w:r w:rsidRPr="00F730E5">
        <w:rPr>
          <w:sz w:val="18"/>
          <w:szCs w:val="18"/>
        </w:rPr>
        <w:t xml:space="preserve">Where necessary and appropriate, members of staff from other departments of the practice will undertake work on a case. They will be charged at their normal charge out rate for undertaking such work. </w:t>
      </w:r>
    </w:p>
    <w:p w14:paraId="7AC91E13" w14:textId="77777777" w:rsidR="00F730E5" w:rsidRPr="00F730E5" w:rsidRDefault="00F730E5" w:rsidP="00F730E5">
      <w:pPr>
        <w:spacing w:after="0" w:line="240" w:lineRule="auto"/>
        <w:jc w:val="both"/>
        <w:rPr>
          <w:sz w:val="18"/>
          <w:szCs w:val="18"/>
        </w:rPr>
      </w:pPr>
    </w:p>
    <w:p w14:paraId="1093C16E" w14:textId="77777777" w:rsidR="00F730E5" w:rsidRPr="00F730E5" w:rsidRDefault="00F730E5" w:rsidP="00F730E5">
      <w:pPr>
        <w:spacing w:after="0" w:line="240" w:lineRule="auto"/>
        <w:jc w:val="both"/>
        <w:rPr>
          <w:sz w:val="18"/>
          <w:szCs w:val="18"/>
        </w:rPr>
      </w:pPr>
      <w:r w:rsidRPr="00F730E5">
        <w:rPr>
          <w:sz w:val="18"/>
          <w:szCs w:val="18"/>
        </w:rPr>
        <w:t xml:space="preserve">These charge-out rates charged are reviewed on 1 May each year and are adjusted to take account of inflation and the firm’s overheads. </w:t>
      </w:r>
    </w:p>
    <w:p w14:paraId="0F705CA0" w14:textId="77777777" w:rsidR="00F730E5" w:rsidRPr="00F730E5" w:rsidRDefault="00F730E5" w:rsidP="00F730E5">
      <w:pPr>
        <w:spacing w:after="0" w:line="240" w:lineRule="auto"/>
        <w:jc w:val="both"/>
        <w:rPr>
          <w:sz w:val="18"/>
          <w:szCs w:val="18"/>
        </w:rPr>
      </w:pPr>
    </w:p>
    <w:p w14:paraId="649E1A6C" w14:textId="77777777" w:rsidR="00F730E5" w:rsidRPr="00F730E5" w:rsidRDefault="00F730E5" w:rsidP="00F730E5">
      <w:pPr>
        <w:spacing w:after="0" w:line="240" w:lineRule="auto"/>
        <w:jc w:val="both"/>
        <w:rPr>
          <w:sz w:val="18"/>
          <w:szCs w:val="18"/>
        </w:rPr>
      </w:pPr>
      <w:r w:rsidRPr="00F730E5">
        <w:rPr>
          <w:sz w:val="18"/>
          <w:szCs w:val="18"/>
        </w:rPr>
        <w:t xml:space="preserve">Time spent on casework is recorded directly to the relevant case using a computerised time recording system and the nature of the work </w:t>
      </w:r>
      <w:r w:rsidRPr="00F730E5">
        <w:rPr>
          <w:sz w:val="18"/>
          <w:szCs w:val="18"/>
        </w:rPr>
        <w:t xml:space="preserve">undertaken is recorded at that time. Each unit of time is 6 minutes. The work is recorded under the following categories: </w:t>
      </w:r>
    </w:p>
    <w:p w14:paraId="20689932" w14:textId="77777777" w:rsidR="00F730E5" w:rsidRPr="00F730E5" w:rsidRDefault="00F730E5" w:rsidP="00F730E5">
      <w:pPr>
        <w:spacing w:after="0" w:line="240" w:lineRule="auto"/>
        <w:jc w:val="both"/>
        <w:rPr>
          <w:sz w:val="18"/>
          <w:szCs w:val="18"/>
        </w:rPr>
      </w:pPr>
    </w:p>
    <w:p w14:paraId="67C9E595" w14:textId="76345074" w:rsidR="00F730E5" w:rsidRPr="00F730E5" w:rsidRDefault="00F730E5" w:rsidP="00F730E5">
      <w:pPr>
        <w:spacing w:after="0" w:line="240" w:lineRule="auto"/>
        <w:jc w:val="both"/>
        <w:rPr>
          <w:sz w:val="18"/>
          <w:szCs w:val="18"/>
        </w:rPr>
      </w:pPr>
      <w:r w:rsidRPr="00F730E5">
        <w:rPr>
          <w:sz w:val="18"/>
          <w:szCs w:val="18"/>
        </w:rPr>
        <w:t>-</w:t>
      </w:r>
      <w:r>
        <w:rPr>
          <w:sz w:val="18"/>
          <w:szCs w:val="18"/>
        </w:rPr>
        <w:t xml:space="preserve">  </w:t>
      </w:r>
      <w:r w:rsidRPr="00F730E5">
        <w:rPr>
          <w:sz w:val="18"/>
          <w:szCs w:val="18"/>
        </w:rPr>
        <w:t>Administration &amp; Planning</w:t>
      </w:r>
      <w:r>
        <w:rPr>
          <w:sz w:val="18"/>
          <w:szCs w:val="18"/>
        </w:rPr>
        <w:tab/>
      </w:r>
      <w:r>
        <w:rPr>
          <w:sz w:val="18"/>
          <w:szCs w:val="18"/>
        </w:rPr>
        <w:tab/>
        <w:t xml:space="preserve">-  </w:t>
      </w:r>
      <w:r w:rsidRPr="00F730E5">
        <w:rPr>
          <w:sz w:val="18"/>
          <w:szCs w:val="18"/>
        </w:rPr>
        <w:t xml:space="preserve">Investigations </w:t>
      </w:r>
    </w:p>
    <w:p w14:paraId="3B97A08C" w14:textId="357F0680" w:rsidR="00F730E5" w:rsidRPr="00F730E5" w:rsidRDefault="00F730E5" w:rsidP="00F730E5">
      <w:pPr>
        <w:spacing w:after="0" w:line="240" w:lineRule="auto"/>
        <w:jc w:val="both"/>
        <w:rPr>
          <w:sz w:val="18"/>
          <w:szCs w:val="18"/>
        </w:rPr>
      </w:pPr>
      <w:r>
        <w:rPr>
          <w:sz w:val="18"/>
          <w:szCs w:val="18"/>
        </w:rPr>
        <w:t xml:space="preserve">-  </w:t>
      </w:r>
      <w:r w:rsidRPr="00F730E5">
        <w:rPr>
          <w:sz w:val="18"/>
          <w:szCs w:val="18"/>
        </w:rPr>
        <w:t xml:space="preserve">Realisation of Assets. </w:t>
      </w:r>
      <w:r>
        <w:rPr>
          <w:sz w:val="18"/>
          <w:szCs w:val="18"/>
        </w:rPr>
        <w:tab/>
      </w:r>
      <w:r>
        <w:rPr>
          <w:sz w:val="18"/>
          <w:szCs w:val="18"/>
        </w:rPr>
        <w:tab/>
        <w:t xml:space="preserve">-  </w:t>
      </w:r>
      <w:r w:rsidRPr="00F730E5">
        <w:rPr>
          <w:sz w:val="18"/>
          <w:szCs w:val="18"/>
        </w:rPr>
        <w:t xml:space="preserve">Employee matters. </w:t>
      </w:r>
    </w:p>
    <w:p w14:paraId="157B3B32" w14:textId="0650F65E" w:rsidR="00F730E5" w:rsidRPr="00F730E5" w:rsidRDefault="00F730E5" w:rsidP="00F730E5">
      <w:pPr>
        <w:spacing w:after="0" w:line="240" w:lineRule="auto"/>
        <w:jc w:val="both"/>
        <w:rPr>
          <w:sz w:val="18"/>
          <w:szCs w:val="18"/>
        </w:rPr>
      </w:pPr>
      <w:r>
        <w:rPr>
          <w:sz w:val="18"/>
          <w:szCs w:val="18"/>
        </w:rPr>
        <w:t xml:space="preserve">-  </w:t>
      </w:r>
      <w:r w:rsidRPr="00F730E5">
        <w:rPr>
          <w:sz w:val="18"/>
          <w:szCs w:val="18"/>
        </w:rPr>
        <w:t xml:space="preserve">Creditors. </w:t>
      </w:r>
      <w:r>
        <w:rPr>
          <w:sz w:val="18"/>
          <w:szCs w:val="18"/>
        </w:rPr>
        <w:tab/>
      </w:r>
      <w:r>
        <w:rPr>
          <w:sz w:val="18"/>
          <w:szCs w:val="18"/>
        </w:rPr>
        <w:tab/>
      </w:r>
      <w:r>
        <w:rPr>
          <w:sz w:val="18"/>
          <w:szCs w:val="18"/>
        </w:rPr>
        <w:tab/>
        <w:t xml:space="preserve">-  </w:t>
      </w:r>
      <w:r w:rsidRPr="00F730E5">
        <w:rPr>
          <w:sz w:val="18"/>
          <w:szCs w:val="18"/>
        </w:rPr>
        <w:t xml:space="preserve">Trading. </w:t>
      </w:r>
    </w:p>
    <w:p w14:paraId="339AAE0E" w14:textId="2F6602C1" w:rsidR="00F730E5" w:rsidRPr="00F730E5" w:rsidRDefault="00F730E5" w:rsidP="00F730E5">
      <w:pPr>
        <w:spacing w:after="0" w:line="240" w:lineRule="auto"/>
        <w:jc w:val="both"/>
        <w:rPr>
          <w:sz w:val="18"/>
          <w:szCs w:val="18"/>
        </w:rPr>
      </w:pPr>
    </w:p>
    <w:p w14:paraId="2C6DCC12" w14:textId="3D68540E" w:rsidR="00F730E5" w:rsidRPr="00F730E5" w:rsidRDefault="00F730E5" w:rsidP="00F730E5">
      <w:pPr>
        <w:spacing w:after="0" w:line="240" w:lineRule="auto"/>
        <w:jc w:val="both"/>
        <w:rPr>
          <w:b/>
          <w:bCs/>
          <w:sz w:val="18"/>
          <w:szCs w:val="18"/>
        </w:rPr>
      </w:pPr>
      <w:r w:rsidRPr="00F730E5">
        <w:rPr>
          <w:b/>
          <w:bCs/>
          <w:sz w:val="18"/>
          <w:szCs w:val="18"/>
        </w:rPr>
        <w:t xml:space="preserve">Percentage basis </w:t>
      </w:r>
    </w:p>
    <w:p w14:paraId="0B3A931A" w14:textId="3BE95310" w:rsidR="00F730E5" w:rsidRPr="00F730E5" w:rsidRDefault="00F730E5" w:rsidP="00F730E5">
      <w:pPr>
        <w:spacing w:after="0" w:line="240" w:lineRule="auto"/>
        <w:jc w:val="both"/>
        <w:rPr>
          <w:sz w:val="18"/>
          <w:szCs w:val="18"/>
        </w:rPr>
      </w:pPr>
      <w:r w:rsidRPr="00F730E5">
        <w:rPr>
          <w:sz w:val="18"/>
          <w:szCs w:val="18"/>
        </w:rPr>
        <w:t xml:space="preserve">The legislation now allows fees to be charged on a percentage of the value of the property with which the office holder </w:t>
      </w:r>
      <w:proofErr w:type="gramStart"/>
      <w:r w:rsidRPr="00F730E5">
        <w:rPr>
          <w:sz w:val="18"/>
          <w:szCs w:val="18"/>
        </w:rPr>
        <w:t>has to</w:t>
      </w:r>
      <w:proofErr w:type="gramEnd"/>
      <w:r w:rsidRPr="00F730E5">
        <w:rPr>
          <w:sz w:val="18"/>
          <w:szCs w:val="18"/>
        </w:rPr>
        <w:t xml:space="preserve"> deal. Different percentages can be used for different assets or types of assets. Where we would like to realise any asset or type of assets on a percentage basis we will provide further information explaining why we think that this basis is appropriate and ask creditors to approve the basis. </w:t>
      </w:r>
    </w:p>
    <w:p w14:paraId="612A07A3" w14:textId="6CCABAAF" w:rsidR="00F730E5" w:rsidRPr="00F730E5" w:rsidRDefault="00F730E5" w:rsidP="00F730E5">
      <w:pPr>
        <w:spacing w:after="0" w:line="240" w:lineRule="auto"/>
        <w:jc w:val="both"/>
        <w:rPr>
          <w:sz w:val="18"/>
          <w:szCs w:val="18"/>
        </w:rPr>
      </w:pPr>
    </w:p>
    <w:p w14:paraId="0D2853EA" w14:textId="57B76863" w:rsidR="00F730E5" w:rsidRPr="00F730E5" w:rsidRDefault="00F730E5" w:rsidP="00F730E5">
      <w:pPr>
        <w:spacing w:after="0" w:line="240" w:lineRule="auto"/>
        <w:jc w:val="both"/>
        <w:rPr>
          <w:b/>
          <w:bCs/>
          <w:sz w:val="18"/>
          <w:szCs w:val="18"/>
        </w:rPr>
      </w:pPr>
      <w:r w:rsidRPr="00F730E5">
        <w:rPr>
          <w:b/>
          <w:bCs/>
          <w:sz w:val="18"/>
          <w:szCs w:val="18"/>
        </w:rPr>
        <w:t xml:space="preserve">Fixed Fee </w:t>
      </w:r>
    </w:p>
    <w:p w14:paraId="5F27E018" w14:textId="05175165" w:rsidR="00F730E5" w:rsidRPr="00F730E5" w:rsidRDefault="00F730E5" w:rsidP="00F730E5">
      <w:pPr>
        <w:spacing w:after="0" w:line="240" w:lineRule="auto"/>
        <w:jc w:val="both"/>
        <w:rPr>
          <w:sz w:val="18"/>
          <w:szCs w:val="18"/>
        </w:rPr>
      </w:pPr>
      <w:r w:rsidRPr="00F730E5">
        <w:rPr>
          <w:sz w:val="18"/>
          <w:szCs w:val="18"/>
        </w:rPr>
        <w:t xml:space="preserve">The legislation now allows fees to be charged at a set amount. Different set amounts can be used for different tasks. Where we would like to charge a set amount for a task or different set amounts for different tasks we will provide further information explaining why we think that this basis is appropriate and ask creditors to approve the basis. </w:t>
      </w:r>
    </w:p>
    <w:p w14:paraId="17CCD961" w14:textId="358719FC" w:rsidR="00F730E5" w:rsidRPr="00F730E5" w:rsidRDefault="00F730E5" w:rsidP="00F730E5">
      <w:pPr>
        <w:spacing w:after="0" w:line="240" w:lineRule="auto"/>
        <w:jc w:val="both"/>
        <w:rPr>
          <w:sz w:val="18"/>
          <w:szCs w:val="18"/>
        </w:rPr>
      </w:pPr>
      <w:r>
        <w:rPr>
          <w:noProof/>
          <w:sz w:val="18"/>
          <w:szCs w:val="18"/>
        </w:rPr>
        <mc:AlternateContent>
          <mc:Choice Requires="wpi">
            <w:drawing>
              <wp:anchor distT="0" distB="0" distL="114300" distR="114300" simplePos="0" relativeHeight="251662336" behindDoc="0" locked="0" layoutInCell="1" allowOverlap="1" wp14:anchorId="233E78F8" wp14:editId="64A11113">
                <wp:simplePos x="0" y="0"/>
                <wp:positionH relativeFrom="column">
                  <wp:posOffset>602358</wp:posOffset>
                </wp:positionH>
                <wp:positionV relativeFrom="paragraph">
                  <wp:posOffset>22781</wp:posOffset>
                </wp:positionV>
                <wp:extent cx="360" cy="360"/>
                <wp:effectExtent l="76200" t="76200" r="95250" b="95250"/>
                <wp:wrapNone/>
                <wp:docPr id="24"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7F1959F" id="Ink 24" o:spid="_x0000_s1026" type="#_x0000_t75" style="position:absolute;margin-left:44.6pt;margin-top:-1.05pt;width:5.7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">
                <v:imagedata r:id="rId12" o:title=""/>
              </v:shape>
            </w:pict>
          </mc:Fallback>
        </mc:AlternateContent>
      </w:r>
    </w:p>
    <w:p w14:paraId="53D21633" w14:textId="3774C763" w:rsidR="00F730E5" w:rsidRPr="00F730E5" w:rsidRDefault="00F730E5" w:rsidP="00F730E5">
      <w:pPr>
        <w:spacing w:after="0" w:line="240" w:lineRule="auto"/>
        <w:jc w:val="both"/>
        <w:rPr>
          <w:b/>
          <w:bCs/>
          <w:sz w:val="18"/>
          <w:szCs w:val="18"/>
        </w:rPr>
      </w:pPr>
      <w:r w:rsidRPr="00F730E5">
        <w:rPr>
          <w:b/>
          <w:bCs/>
          <w:sz w:val="18"/>
          <w:szCs w:val="18"/>
        </w:rPr>
        <w:t xml:space="preserve">All Basis </w:t>
      </w:r>
    </w:p>
    <w:p w14:paraId="3DAA92D8" w14:textId="05C86DA9" w:rsidR="00F730E5" w:rsidRPr="00F730E5" w:rsidRDefault="00F730E5" w:rsidP="00F730E5">
      <w:pPr>
        <w:spacing w:after="0" w:line="240" w:lineRule="auto"/>
        <w:jc w:val="both"/>
        <w:rPr>
          <w:sz w:val="18"/>
          <w:szCs w:val="18"/>
        </w:rPr>
      </w:pPr>
      <w:r>
        <w:rPr>
          <w:noProof/>
          <w:sz w:val="18"/>
          <w:szCs w:val="18"/>
        </w:rPr>
        <mc:AlternateContent>
          <mc:Choice Requires="wpi">
            <w:drawing>
              <wp:anchor distT="0" distB="0" distL="114300" distR="114300" simplePos="0" relativeHeight="251661312" behindDoc="0" locked="0" layoutInCell="1" allowOverlap="1" wp14:anchorId="75239BAC" wp14:editId="547D23BE">
                <wp:simplePos x="0" y="0"/>
                <wp:positionH relativeFrom="column">
                  <wp:posOffset>481398</wp:posOffset>
                </wp:positionH>
                <wp:positionV relativeFrom="paragraph">
                  <wp:posOffset>335136</wp:posOffset>
                </wp:positionV>
                <wp:extent cx="2520" cy="2520"/>
                <wp:effectExtent l="95250" t="76200" r="93345" b="112395"/>
                <wp:wrapNone/>
                <wp:docPr id="23" name="Ink 23"/>
                <wp:cNvGraphicFramePr/>
                <a:graphic xmlns:a="http://schemas.openxmlformats.org/drawingml/2006/main">
                  <a:graphicData uri="http://schemas.microsoft.com/office/word/2010/wordprocessingInk">
                    <w14:contentPart bwMode="auto" r:id="rId14">
                      <w14:nvContentPartPr>
                        <w14:cNvContentPartPr/>
                      </w14:nvContentPartPr>
                      <w14:xfrm>
                        <a:off x="0" y="0"/>
                        <a:ext cx="2520" cy="2520"/>
                      </w14:xfrm>
                    </w14:contentPart>
                  </a:graphicData>
                </a:graphic>
              </wp:anchor>
            </w:drawing>
          </mc:Choice>
          <mc:Fallback>
            <w:pict>
              <v:shape w14:anchorId="059644D6" id="Ink 23" o:spid="_x0000_s1026" type="#_x0000_t75" style="position:absolute;margin-left:35.05pt;margin-top:23.6pt;width:5.9pt;height: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">
                <v:imagedata r:id="rId15" o:title=""/>
              </v:shape>
            </w:pict>
          </mc:Fallback>
        </mc:AlternateContent>
      </w:r>
      <w:proofErr w:type="gramStart"/>
      <w:r w:rsidRPr="00F730E5">
        <w:rPr>
          <w:sz w:val="18"/>
          <w:szCs w:val="18"/>
        </w:rPr>
        <w:t>With the exception of</w:t>
      </w:r>
      <w:proofErr w:type="gramEnd"/>
      <w:r w:rsidRPr="00F730E5">
        <w:rPr>
          <w:sz w:val="18"/>
          <w:szCs w:val="18"/>
        </w:rPr>
        <w:t xml:space="preserve"> Individual Voluntary Arrangements and Company Voluntary Arrangements which are VAT exempt, the officeholder’s remuneration invoiced to the insolvent estate will be subject to VAT at the prevailing rate. </w:t>
      </w:r>
    </w:p>
    <w:p w14:paraId="53D04D06" w14:textId="77777777" w:rsidR="00F730E5" w:rsidRPr="00F730E5" w:rsidRDefault="00F730E5" w:rsidP="00F730E5">
      <w:pPr>
        <w:spacing w:after="0" w:line="240" w:lineRule="auto"/>
        <w:jc w:val="both"/>
        <w:rPr>
          <w:sz w:val="18"/>
          <w:szCs w:val="18"/>
        </w:rPr>
      </w:pPr>
    </w:p>
    <w:p w14:paraId="02931645" w14:textId="1611F8B5" w:rsidR="00F730E5" w:rsidRPr="00F730E5" w:rsidRDefault="00F730E5" w:rsidP="00F730E5">
      <w:pPr>
        <w:spacing w:after="0" w:line="240" w:lineRule="auto"/>
        <w:jc w:val="both"/>
        <w:rPr>
          <w:b/>
          <w:bCs/>
          <w:sz w:val="18"/>
          <w:szCs w:val="18"/>
        </w:rPr>
      </w:pPr>
      <w:r w:rsidRPr="00F730E5">
        <w:rPr>
          <w:b/>
          <w:bCs/>
          <w:sz w:val="18"/>
          <w:szCs w:val="18"/>
        </w:rPr>
        <w:t xml:space="preserve">Agent’s Costs </w:t>
      </w:r>
    </w:p>
    <w:p w14:paraId="654087F6" w14:textId="6B083748" w:rsidR="00F730E5" w:rsidRPr="00F730E5" w:rsidRDefault="00F730E5" w:rsidP="00F730E5">
      <w:pPr>
        <w:spacing w:after="0" w:line="240" w:lineRule="auto"/>
        <w:jc w:val="both"/>
        <w:rPr>
          <w:sz w:val="18"/>
          <w:szCs w:val="18"/>
        </w:rPr>
      </w:pPr>
      <w:r w:rsidRPr="00F730E5">
        <w:rPr>
          <w:sz w:val="18"/>
          <w:szCs w:val="18"/>
        </w:rPr>
        <w:t xml:space="preserve">Charged at cost based upon the charge made by the Agent instructed, the term Agent includes: </w:t>
      </w:r>
    </w:p>
    <w:p w14:paraId="77ACD2C3" w14:textId="078E399A" w:rsidR="00F730E5" w:rsidRPr="00F730E5" w:rsidRDefault="00F730E5" w:rsidP="00F730E5">
      <w:pPr>
        <w:spacing w:after="0" w:line="240" w:lineRule="auto"/>
        <w:jc w:val="both"/>
        <w:rPr>
          <w:sz w:val="18"/>
          <w:szCs w:val="18"/>
        </w:rPr>
      </w:pPr>
      <w:r w:rsidRPr="00F730E5">
        <w:rPr>
          <w:sz w:val="18"/>
          <w:szCs w:val="18"/>
        </w:rPr>
        <w:t xml:space="preserve">Solicitors/Legal Advisors </w:t>
      </w:r>
      <w:r>
        <w:rPr>
          <w:sz w:val="18"/>
          <w:szCs w:val="18"/>
        </w:rPr>
        <w:tab/>
      </w:r>
      <w:r>
        <w:rPr>
          <w:sz w:val="18"/>
          <w:szCs w:val="18"/>
        </w:rPr>
        <w:tab/>
      </w:r>
      <w:r w:rsidRPr="00F730E5">
        <w:rPr>
          <w:sz w:val="18"/>
          <w:szCs w:val="18"/>
        </w:rPr>
        <w:t xml:space="preserve">Auctioneers/Valuers </w:t>
      </w:r>
    </w:p>
    <w:p w14:paraId="792E9365" w14:textId="483353EF" w:rsidR="00F730E5" w:rsidRPr="00F730E5" w:rsidRDefault="00F730E5" w:rsidP="00F730E5">
      <w:pPr>
        <w:spacing w:after="0" w:line="240" w:lineRule="auto"/>
        <w:jc w:val="both"/>
        <w:rPr>
          <w:sz w:val="18"/>
          <w:szCs w:val="18"/>
        </w:rPr>
      </w:pPr>
      <w:r w:rsidRPr="00F730E5">
        <w:rPr>
          <w:sz w:val="18"/>
          <w:szCs w:val="18"/>
        </w:rPr>
        <w:t xml:space="preserve">Accountants </w:t>
      </w:r>
      <w:r>
        <w:rPr>
          <w:sz w:val="18"/>
          <w:szCs w:val="18"/>
        </w:rPr>
        <w:tab/>
      </w:r>
      <w:r>
        <w:rPr>
          <w:sz w:val="18"/>
          <w:szCs w:val="18"/>
        </w:rPr>
        <w:tab/>
      </w:r>
      <w:r>
        <w:rPr>
          <w:sz w:val="18"/>
          <w:szCs w:val="18"/>
        </w:rPr>
        <w:tab/>
      </w:r>
      <w:r w:rsidRPr="00F730E5">
        <w:rPr>
          <w:sz w:val="18"/>
          <w:szCs w:val="18"/>
        </w:rPr>
        <w:t xml:space="preserve">Quantity Surveyors </w:t>
      </w:r>
    </w:p>
    <w:p w14:paraId="7F1D9CB4" w14:textId="5656975C" w:rsidR="00F730E5" w:rsidRDefault="00F730E5" w:rsidP="00F730E5">
      <w:pPr>
        <w:spacing w:after="0" w:line="240" w:lineRule="auto"/>
        <w:jc w:val="both"/>
        <w:rPr>
          <w:sz w:val="18"/>
          <w:szCs w:val="18"/>
        </w:rPr>
      </w:pPr>
      <w:r w:rsidRPr="00F730E5">
        <w:rPr>
          <w:sz w:val="18"/>
          <w:szCs w:val="18"/>
        </w:rPr>
        <w:t xml:space="preserve">Estate Agents </w:t>
      </w:r>
      <w:r>
        <w:rPr>
          <w:sz w:val="18"/>
          <w:szCs w:val="18"/>
        </w:rPr>
        <w:tab/>
      </w:r>
      <w:r>
        <w:rPr>
          <w:sz w:val="18"/>
          <w:szCs w:val="18"/>
        </w:rPr>
        <w:tab/>
      </w:r>
      <w:r>
        <w:rPr>
          <w:sz w:val="18"/>
          <w:szCs w:val="18"/>
        </w:rPr>
        <w:tab/>
      </w:r>
      <w:r w:rsidRPr="00F730E5">
        <w:rPr>
          <w:sz w:val="18"/>
          <w:szCs w:val="18"/>
        </w:rPr>
        <w:t xml:space="preserve">Other Specialist Advisors </w:t>
      </w:r>
    </w:p>
    <w:p w14:paraId="52F9915E" w14:textId="77777777" w:rsidR="00F730E5" w:rsidRPr="00F730E5" w:rsidRDefault="00F730E5" w:rsidP="00F730E5">
      <w:pPr>
        <w:spacing w:after="0" w:line="240" w:lineRule="auto"/>
        <w:jc w:val="both"/>
        <w:rPr>
          <w:sz w:val="18"/>
          <w:szCs w:val="18"/>
        </w:rPr>
      </w:pPr>
    </w:p>
    <w:p w14:paraId="75864FE9" w14:textId="4B4AA109" w:rsidR="00F730E5" w:rsidRPr="00F730E5" w:rsidRDefault="00F730E5" w:rsidP="00F730E5">
      <w:pPr>
        <w:spacing w:after="0" w:line="240" w:lineRule="auto"/>
        <w:jc w:val="both"/>
        <w:rPr>
          <w:b/>
          <w:bCs/>
          <w:sz w:val="18"/>
          <w:szCs w:val="18"/>
        </w:rPr>
      </w:pPr>
      <w:r w:rsidRPr="00F730E5">
        <w:rPr>
          <w:b/>
          <w:bCs/>
          <w:sz w:val="18"/>
          <w:szCs w:val="18"/>
        </w:rPr>
        <w:t>Expenses</w:t>
      </w:r>
    </w:p>
    <w:p w14:paraId="3CB4A21E" w14:textId="77777777" w:rsidR="00F730E5" w:rsidRPr="00F730E5" w:rsidRDefault="00F730E5" w:rsidP="00F730E5">
      <w:pPr>
        <w:spacing w:after="0" w:line="240" w:lineRule="auto"/>
        <w:jc w:val="both"/>
        <w:rPr>
          <w:sz w:val="18"/>
          <w:szCs w:val="18"/>
        </w:rPr>
      </w:pPr>
      <w:r w:rsidRPr="00F730E5">
        <w:rPr>
          <w:sz w:val="18"/>
          <w:szCs w:val="18"/>
        </w:rPr>
        <w:t>In accordance with SIP 9 expenses are payments from the estate which are neither an office holder’s remuneration nor a distribution to a creditor or member. Expenses are also disbursements. Disbursements are expenses which are first met by the office holder and then reimbursed to the office holder from the estate. Expenses are categorised as either Category 1 or Category 2.</w:t>
      </w:r>
    </w:p>
    <w:p w14:paraId="78BC3821" w14:textId="77777777" w:rsidR="00F730E5" w:rsidRPr="00F730E5" w:rsidRDefault="00F730E5" w:rsidP="00F730E5">
      <w:pPr>
        <w:spacing w:after="0" w:line="240" w:lineRule="auto"/>
        <w:jc w:val="both"/>
        <w:rPr>
          <w:sz w:val="18"/>
          <w:szCs w:val="18"/>
        </w:rPr>
      </w:pPr>
    </w:p>
    <w:p w14:paraId="67C24505" w14:textId="77777777" w:rsidR="00F730E5" w:rsidRPr="00F730E5" w:rsidRDefault="00F730E5" w:rsidP="00F730E5">
      <w:pPr>
        <w:spacing w:after="0" w:line="240" w:lineRule="auto"/>
        <w:jc w:val="both"/>
        <w:rPr>
          <w:sz w:val="18"/>
          <w:szCs w:val="18"/>
        </w:rPr>
      </w:pPr>
      <w:r w:rsidRPr="00F730E5">
        <w:rPr>
          <w:sz w:val="18"/>
          <w:szCs w:val="18"/>
        </w:rPr>
        <w:t xml:space="preserve">Category 1 expenses are payments to persons providing a service to which the expense relates who are not associates of the office holders. Category 1 expenses can be paid without prior approval. Examples of Category 1 disbursements are statutory advertising, external meeting room hire, external storage, specific bond insurance and insurance. </w:t>
      </w:r>
    </w:p>
    <w:p w14:paraId="22DEB48C" w14:textId="77777777" w:rsidR="00F730E5" w:rsidRPr="00F730E5" w:rsidRDefault="00F730E5" w:rsidP="00F730E5">
      <w:pPr>
        <w:spacing w:after="0" w:line="240" w:lineRule="auto"/>
        <w:jc w:val="both"/>
        <w:rPr>
          <w:sz w:val="18"/>
          <w:szCs w:val="18"/>
        </w:rPr>
      </w:pPr>
    </w:p>
    <w:p w14:paraId="54C12FA2" w14:textId="77777777" w:rsidR="00F730E5" w:rsidRPr="00F730E5" w:rsidRDefault="00F730E5" w:rsidP="00F730E5">
      <w:pPr>
        <w:spacing w:after="0" w:line="240" w:lineRule="auto"/>
        <w:jc w:val="both"/>
        <w:rPr>
          <w:sz w:val="18"/>
          <w:szCs w:val="18"/>
        </w:rPr>
      </w:pPr>
      <w:r w:rsidRPr="00F730E5">
        <w:rPr>
          <w:sz w:val="18"/>
          <w:szCs w:val="18"/>
        </w:rPr>
        <w:t>Category 2 expenses are payments to associates or which have an element of shared costs. Before being paid, category 2 expenses require approval in the same manner as an office holder’s renumeration. Category 2 expenses require approval whether paid directly from the estate or a disbursement.</w:t>
      </w:r>
    </w:p>
    <w:p w14:paraId="124D2C5A" w14:textId="77777777" w:rsidR="00F730E5" w:rsidRPr="00F730E5" w:rsidRDefault="00F730E5" w:rsidP="00F730E5">
      <w:pPr>
        <w:spacing w:after="0" w:line="240" w:lineRule="auto"/>
        <w:jc w:val="both"/>
        <w:rPr>
          <w:sz w:val="18"/>
          <w:szCs w:val="18"/>
        </w:rPr>
      </w:pPr>
    </w:p>
    <w:p w14:paraId="02B64691" w14:textId="489BF9E0" w:rsidR="00F730E5" w:rsidRPr="00F730E5" w:rsidRDefault="00F730E5" w:rsidP="00F730E5">
      <w:pPr>
        <w:spacing w:after="0" w:line="240" w:lineRule="auto"/>
        <w:jc w:val="both"/>
        <w:rPr>
          <w:sz w:val="18"/>
          <w:szCs w:val="18"/>
        </w:rPr>
      </w:pPr>
      <w:r w:rsidRPr="00F730E5">
        <w:rPr>
          <w:sz w:val="18"/>
          <w:szCs w:val="18"/>
        </w:rPr>
        <w:t xml:space="preserve">It is proposed that the following Category 2 disbursements are recovered: </w:t>
      </w:r>
    </w:p>
    <w:p w14:paraId="25BDD230" w14:textId="77777777" w:rsidR="00F730E5" w:rsidRPr="00F730E5" w:rsidRDefault="00F730E5" w:rsidP="00F730E5">
      <w:pPr>
        <w:spacing w:after="0" w:line="240" w:lineRule="auto"/>
        <w:jc w:val="both"/>
        <w:rPr>
          <w:sz w:val="18"/>
          <w:szCs w:val="18"/>
        </w:rPr>
      </w:pPr>
      <w:r w:rsidRPr="00F730E5">
        <w:rPr>
          <w:sz w:val="18"/>
          <w:szCs w:val="18"/>
        </w:rPr>
        <w:t xml:space="preserve">Mileage: 45p per mile </w:t>
      </w:r>
    </w:p>
    <w:p w14:paraId="7E35470A" w14:textId="77777777" w:rsidR="00F730E5" w:rsidRPr="00F730E5" w:rsidRDefault="00F730E5" w:rsidP="00F730E5">
      <w:pPr>
        <w:spacing w:after="0" w:line="240" w:lineRule="auto"/>
        <w:jc w:val="both"/>
        <w:rPr>
          <w:sz w:val="18"/>
          <w:szCs w:val="18"/>
        </w:rPr>
      </w:pPr>
    </w:p>
    <w:p w14:paraId="34342B79" w14:textId="22CDE550" w:rsidR="00D9253A" w:rsidRPr="00F730E5" w:rsidRDefault="00F730E5" w:rsidP="00F730E5">
      <w:pPr>
        <w:spacing w:after="0" w:line="240" w:lineRule="auto"/>
        <w:jc w:val="both"/>
        <w:rPr>
          <w:sz w:val="18"/>
          <w:szCs w:val="18"/>
        </w:rPr>
      </w:pPr>
      <w:r w:rsidRPr="00F730E5">
        <w:rPr>
          <w:sz w:val="18"/>
          <w:szCs w:val="18"/>
        </w:rPr>
        <w:t>Mileage is paid to the office holder’s staff for travel associated with the insolvency appointment. It is a Category 2 expense as it is payable to employees of the office older (therefore associates). It is proposed that mileage is paid and recovered at HMRC approved mileage rates for the distance travelled in connection with the insolvency appointment by the office holder’s staff.</w:t>
      </w:r>
    </w:p>
    <w:sectPr w:rsidR="00D9253A" w:rsidRPr="00F730E5" w:rsidSect="00F730E5">
      <w:headerReference w:type="default" r:id="rId16"/>
      <w:pgSz w:w="11906" w:h="16838"/>
      <w:pgMar w:top="1418" w:right="566" w:bottom="426" w:left="56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EA9A" w14:textId="77777777" w:rsidR="00FF1102" w:rsidRDefault="00FF1102" w:rsidP="00F730E5">
      <w:pPr>
        <w:spacing w:after="0" w:line="240" w:lineRule="auto"/>
      </w:pPr>
      <w:r>
        <w:separator/>
      </w:r>
    </w:p>
  </w:endnote>
  <w:endnote w:type="continuationSeparator" w:id="0">
    <w:p w14:paraId="11DF0B40" w14:textId="77777777" w:rsidR="00FF1102" w:rsidRDefault="00FF1102" w:rsidP="00F7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5A86" w14:textId="77777777" w:rsidR="00FF1102" w:rsidRDefault="00FF1102" w:rsidP="00F730E5">
      <w:pPr>
        <w:spacing w:after="0" w:line="240" w:lineRule="auto"/>
      </w:pPr>
      <w:r>
        <w:separator/>
      </w:r>
    </w:p>
  </w:footnote>
  <w:footnote w:type="continuationSeparator" w:id="0">
    <w:p w14:paraId="0FE9DBCC" w14:textId="77777777" w:rsidR="00FF1102" w:rsidRDefault="00FF1102" w:rsidP="00F73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6C61" w14:textId="5EFA7F70" w:rsidR="00F730E5" w:rsidRDefault="00F730E5">
    <w:pPr>
      <w:pStyle w:val="Header"/>
    </w:pPr>
    <w:r>
      <w:rPr>
        <w:noProof/>
      </w:rPr>
      <w:drawing>
        <wp:anchor distT="0" distB="0" distL="114300" distR="114300" simplePos="0" relativeHeight="251659264" behindDoc="1" locked="0" layoutInCell="1" allowOverlap="1" wp14:anchorId="4AF7C7ED" wp14:editId="712DF3CE">
          <wp:simplePos x="0" y="0"/>
          <wp:positionH relativeFrom="column">
            <wp:posOffset>-28575</wp:posOffset>
          </wp:positionH>
          <wp:positionV relativeFrom="paragraph">
            <wp:posOffset>-278130</wp:posOffset>
          </wp:positionV>
          <wp:extent cx="2971800" cy="692458"/>
          <wp:effectExtent l="0" t="0" r="0" b="0"/>
          <wp:wrapNone/>
          <wp:docPr id="18" name="Picture 18"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71800" cy="6924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B6FCB"/>
    <w:multiLevelType w:val="hybridMultilevel"/>
    <w:tmpl w:val="82E27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951F77"/>
    <w:multiLevelType w:val="hybridMultilevel"/>
    <w:tmpl w:val="164824A6"/>
    <w:lvl w:ilvl="0" w:tplc="D4681C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9467">
    <w:abstractNumId w:val="0"/>
  </w:num>
  <w:num w:numId="2" w16cid:durableId="212383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E5"/>
    <w:rsid w:val="002D6F94"/>
    <w:rsid w:val="0038166D"/>
    <w:rsid w:val="004C347A"/>
    <w:rsid w:val="00D9253A"/>
    <w:rsid w:val="00DE75BB"/>
    <w:rsid w:val="00F730E5"/>
    <w:rsid w:val="00FF1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9D49"/>
  <w15:chartTrackingRefBased/>
  <w15:docId w15:val="{E532E486-73F6-4854-9612-65737D24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0E5"/>
    <w:pPr>
      <w:ind w:left="720"/>
      <w:contextualSpacing/>
    </w:pPr>
  </w:style>
  <w:style w:type="paragraph" w:styleId="Header">
    <w:name w:val="header"/>
    <w:basedOn w:val="Normal"/>
    <w:link w:val="HeaderChar"/>
    <w:uiPriority w:val="99"/>
    <w:unhideWhenUsed/>
    <w:rsid w:val="00F7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0E5"/>
  </w:style>
  <w:style w:type="paragraph" w:styleId="Footer">
    <w:name w:val="footer"/>
    <w:basedOn w:val="Normal"/>
    <w:link w:val="FooterChar"/>
    <w:uiPriority w:val="99"/>
    <w:unhideWhenUsed/>
    <w:rsid w:val="00F7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7T09:02:36.441"/>
    </inkml:context>
    <inkml:brush xml:id="br0">
      <inkml:brushProperty name="width" value="0.2" units="cm"/>
      <inkml:brushProperty name="height" value="0.2" units="cm"/>
      <inkml:brushProperty name="color" value="#FFFFFF"/>
    </inkml:brush>
  </inkml:definitions>
  <inkml:trace contextRef="#ctx0" brushRef="#br0">0 1 24575,'6'0'0,"7"5"0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7T09:02:36.081"/>
    </inkml:context>
    <inkml:brush xml:id="br0">
      <inkml:brushProperty name="width" value="0.2" units="cm"/>
      <inkml:brushProperty name="height" value="0.2" units="cm"/>
      <inkml:brushProperty name="color" value="#FFFFFF"/>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7T09:03:53.306"/>
    </inkml:context>
    <inkml:brush xml:id="br0">
      <inkml:brushProperty name="width" value="0.2" units="cm"/>
      <inkml:brushProperty name="height" value="0.2" units="cm"/>
      <inkml:brushProperty name="color" value="#FFFFFF"/>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7T09:03:52.683"/>
    </inkml:context>
    <inkml:brush xml:id="br0">
      <inkml:brushProperty name="width" value="0.2" units="cm"/>
      <inkml:brushProperty name="height" value="0.2" units="cm"/>
      <inkml:brushProperty name="color" value="#FFFFFF"/>
    </inkml:brush>
  </inkml:definitions>
  <inkml:trace contextRef="#ctx0" brushRef="#br0">6 6 24575,'-6'-5'0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4E0F3-8386-41AA-862C-46A7C9B3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916</Words>
  <Characters>5224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Armstrong</dc:creator>
  <cp:keywords/>
  <dc:description/>
  <cp:lastModifiedBy>Alison Burnside</cp:lastModifiedBy>
  <cp:revision>2</cp:revision>
  <dcterms:created xsi:type="dcterms:W3CDTF">2022-10-02T16:48:00Z</dcterms:created>
  <dcterms:modified xsi:type="dcterms:W3CDTF">2022-10-02T16:48:00Z</dcterms:modified>
</cp:coreProperties>
</file>